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D" w:rsidRDefault="00442B8D" w:rsidP="00442B8D">
      <w:pPr>
        <w:pStyle w:val="Rubrik"/>
        <w:jc w:val="center"/>
      </w:pPr>
      <w:bookmarkStart w:id="0" w:name="_GoBack"/>
      <w:bookmarkEnd w:id="0"/>
      <w:r w:rsidRPr="00C55D21">
        <w:t xml:space="preserve">Uddannelsesplan for journalistpraktikanter </w:t>
      </w:r>
      <w:r>
        <w:br/>
        <w:t xml:space="preserve">i </w:t>
      </w:r>
      <w:r w:rsidRPr="00C55D21">
        <w:t>Mediehuset Herning Folkeblad</w:t>
      </w:r>
    </w:p>
    <w:p w:rsidR="00442B8D" w:rsidRDefault="00442B8D" w:rsidP="00442B8D">
      <w:pPr>
        <w:rPr>
          <w:sz w:val="28"/>
          <w:szCs w:val="28"/>
        </w:rPr>
      </w:pP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 xml:space="preserve">Mediehuset Herning Folkeblad udgiver dagbladet Herning Folkeblad, ugeavisen Herning Bladet samt en række tilhørende magasiner og specialaviser. Dertil kommer </w:t>
      </w:r>
      <w:r w:rsidR="00115B12">
        <w:rPr>
          <w:sz w:val="28"/>
          <w:szCs w:val="28"/>
        </w:rPr>
        <w:t>nyhedssitet</w:t>
      </w:r>
      <w:r>
        <w:rPr>
          <w:sz w:val="28"/>
          <w:szCs w:val="28"/>
        </w:rPr>
        <w:t xml:space="preserve"> aoh.dk. </w:t>
      </w: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 xml:space="preserve">Under Mediehuset Herning Folkeblads paraply har vi ligeledes radiostationerne Radio M og Radio Alfa samt reklamebureauet </w:t>
      </w:r>
      <w:proofErr w:type="spellStart"/>
      <w:r>
        <w:rPr>
          <w:sz w:val="28"/>
          <w:szCs w:val="28"/>
        </w:rPr>
        <w:t>Konceptas</w:t>
      </w:r>
      <w:proofErr w:type="spellEnd"/>
      <w:r>
        <w:rPr>
          <w:sz w:val="28"/>
          <w:szCs w:val="28"/>
        </w:rPr>
        <w:t xml:space="preserve">. Alt i alt et vidtfavnende mediehus med gode muligheder for at folde sig ud som praktikant. </w:t>
      </w: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 xml:space="preserve">Vi dækker dagligt lokalområdet, der hører under Herning og Ikast-Brande </w:t>
      </w:r>
      <w:r w:rsidR="00115B12">
        <w:rPr>
          <w:sz w:val="28"/>
          <w:szCs w:val="28"/>
        </w:rPr>
        <w:t>k</w:t>
      </w:r>
      <w:r>
        <w:rPr>
          <w:sz w:val="28"/>
          <w:szCs w:val="28"/>
        </w:rPr>
        <w:t>ommune</w:t>
      </w:r>
      <w:r w:rsidR="00115B12">
        <w:rPr>
          <w:sz w:val="28"/>
          <w:szCs w:val="28"/>
        </w:rPr>
        <w:t>r</w:t>
      </w:r>
      <w:r>
        <w:rPr>
          <w:sz w:val="28"/>
          <w:szCs w:val="28"/>
        </w:rPr>
        <w:t>, ligesom vi har en lokalredaktion</w:t>
      </w:r>
      <w:r w:rsidR="00115B12">
        <w:rPr>
          <w:sz w:val="28"/>
          <w:szCs w:val="28"/>
        </w:rPr>
        <w:t xml:space="preserve"> i Videbæk i Ringkøbing-Skjern k</w:t>
      </w:r>
      <w:r>
        <w:rPr>
          <w:sz w:val="28"/>
          <w:szCs w:val="28"/>
        </w:rPr>
        <w:t>ommune. Vi er altså bredt repræsenteret geografisk og udgør dermed en tung hjørnesten i lokalsamfundet i og omkring Herning.</w:t>
      </w:r>
    </w:p>
    <w:p w:rsidR="00442B8D" w:rsidRDefault="00442B8D" w:rsidP="00442B8D">
      <w:pPr>
        <w:rPr>
          <w:sz w:val="28"/>
          <w:szCs w:val="28"/>
        </w:rPr>
      </w:pP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 xml:space="preserve">Vi har tre praktikanter i huset, hvor praktiktiden er på 18 måneder – alternativt 12. Praktikken fordeler sig med seks måneders ophold på henholdsvis Herning-, Ikast- og </w:t>
      </w:r>
      <w:r w:rsidR="00115B12">
        <w:rPr>
          <w:sz w:val="28"/>
          <w:szCs w:val="28"/>
        </w:rPr>
        <w:t>e</w:t>
      </w:r>
      <w:r>
        <w:rPr>
          <w:sz w:val="28"/>
          <w:szCs w:val="28"/>
        </w:rPr>
        <w:t>rhvervsredaktionen. Der kan aftales et kortere ophold på andre redaktioner, hvis det er muligt.</w:t>
      </w: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>Praktikanter hos Mediehuset Herning Folkeblad lærer det journalistiske håndværk i praksis, og vi har en målsætning om, at v</w:t>
      </w:r>
      <w:r w:rsidR="00115B12">
        <w:rPr>
          <w:sz w:val="28"/>
          <w:szCs w:val="28"/>
        </w:rPr>
        <w:t xml:space="preserve">ores praktikanter </w:t>
      </w:r>
      <w:r>
        <w:rPr>
          <w:sz w:val="28"/>
          <w:szCs w:val="28"/>
        </w:rPr>
        <w:t xml:space="preserve">fra dag </w:t>
      </w:r>
      <w:r w:rsidR="00115B12">
        <w:rPr>
          <w:sz w:val="28"/>
          <w:szCs w:val="28"/>
        </w:rPr>
        <w:t>é</w:t>
      </w:r>
      <w:r>
        <w:rPr>
          <w:sz w:val="28"/>
          <w:szCs w:val="28"/>
        </w:rPr>
        <w:t xml:space="preserve">t kommer i aktion. Det vil sige, at man straks bliver kastet ud i journalistisk arbejde, men vi sørger naturligvis for at guide og hjælpe til. Med andre ord får man hurtigt mulighed for at præge avisen, hvis blot man viser det nødvendige initiativ. </w:t>
      </w:r>
    </w:p>
    <w:p w:rsidR="00442B8D" w:rsidRDefault="00442B8D" w:rsidP="00442B8D">
      <w:pPr>
        <w:rPr>
          <w:sz w:val="28"/>
          <w:szCs w:val="28"/>
        </w:rPr>
      </w:pP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 xml:space="preserve">Journalistpraktikanterne tilknyttes en vejleder, der holder møde med praktikanterne mindst hver sjette uge igennem hele forløbet. Indholdet af disse møder planlægges </w:t>
      </w:r>
      <w:r w:rsidR="00115B12">
        <w:rPr>
          <w:sz w:val="28"/>
          <w:szCs w:val="28"/>
        </w:rPr>
        <w:t>som udgangspunkt</w:t>
      </w:r>
      <w:r>
        <w:rPr>
          <w:sz w:val="28"/>
          <w:szCs w:val="28"/>
        </w:rPr>
        <w:t xml:space="preserve"> af vejlederen, men praktikanterne må meget gerne byde ind </w:t>
      </w:r>
      <w:r>
        <w:rPr>
          <w:sz w:val="28"/>
          <w:szCs w:val="28"/>
        </w:rPr>
        <w:lastRenderedPageBreak/>
        <w:t>med id</w:t>
      </w:r>
      <w:r w:rsidR="00115B12">
        <w:rPr>
          <w:sz w:val="28"/>
          <w:szCs w:val="28"/>
        </w:rPr>
        <w:t>é</w:t>
      </w:r>
      <w:r>
        <w:rPr>
          <w:sz w:val="28"/>
          <w:szCs w:val="28"/>
        </w:rPr>
        <w:t>er. Vejlederen står desuden til rådighed i det daglige, hvis praktikanten har behov for at drøfte eventuelle problemstillinger.</w:t>
      </w:r>
    </w:p>
    <w:p w:rsidR="00442B8D" w:rsidRDefault="00442B8D" w:rsidP="00442B8D">
      <w:pPr>
        <w:rPr>
          <w:sz w:val="28"/>
          <w:szCs w:val="28"/>
        </w:rPr>
      </w:pP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>Når man begynder på en redaktion, introducere</w:t>
      </w:r>
      <w:r w:rsidR="00B0680B">
        <w:rPr>
          <w:sz w:val="28"/>
          <w:szCs w:val="28"/>
        </w:rPr>
        <w:t>r den respektive redaktør</w:t>
      </w:r>
      <w:r>
        <w:rPr>
          <w:sz w:val="28"/>
          <w:szCs w:val="28"/>
        </w:rPr>
        <w:t xml:space="preserve"> praktikanten til, hvad der forventes af vedkommende i de seks måneders ophold. Er der særlige opgaver øremærket praktikanten, hvilke journalistiske genrer skal praktikanten omkring i løbet af de seks måneder?  </w:t>
      </w:r>
      <w:r w:rsidR="00115B12">
        <w:rPr>
          <w:sz w:val="28"/>
          <w:szCs w:val="28"/>
        </w:rPr>
        <w:t>Hvad forventer redaktøren, og h</w:t>
      </w:r>
      <w:r>
        <w:rPr>
          <w:sz w:val="28"/>
          <w:szCs w:val="28"/>
        </w:rPr>
        <w:t>vad forventer praktikanten? Dette skrives ned og bruges som grundlag for senere evaluering.</w:t>
      </w: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 xml:space="preserve">Det er redaktøren på den enkelte redaktion, der coacher og vejleder i det daglige, ligesom det er redaktøren, der løbende giver feedback på praktikantens arbejde. Midtvejs i forløbet holdes et møde med skriftlig evaluering. Her gennemgås de første tre måneder. Hvor har praktikanten vist sine styrker og svagheder? Vil praktikanten gerne udfordres i andre genrer? Hvor er der mulighed for udvikling i de måneder, der resterer på redaktionen? </w:t>
      </w:r>
    </w:p>
    <w:p w:rsidR="00442B8D" w:rsidRDefault="00442B8D" w:rsidP="00442B8D">
      <w:pPr>
        <w:rPr>
          <w:sz w:val="28"/>
          <w:szCs w:val="28"/>
        </w:rPr>
      </w:pPr>
      <w:r>
        <w:rPr>
          <w:sz w:val="28"/>
          <w:szCs w:val="28"/>
        </w:rPr>
        <w:t>Redaktøren og praktikanten har i fællesskab ansvar for, at disse mål indfries.</w:t>
      </w:r>
      <w:r w:rsidR="00B0680B">
        <w:rPr>
          <w:sz w:val="28"/>
          <w:szCs w:val="28"/>
        </w:rPr>
        <w:br/>
      </w:r>
    </w:p>
    <w:p w:rsidR="00EC427E" w:rsidRDefault="00EC427E" w:rsidP="00442B8D">
      <w:pPr>
        <w:rPr>
          <w:sz w:val="28"/>
          <w:szCs w:val="28"/>
        </w:rPr>
      </w:pPr>
      <w:r>
        <w:rPr>
          <w:sz w:val="28"/>
          <w:szCs w:val="28"/>
        </w:rPr>
        <w:t xml:space="preserve">Praktikanten forventes i sin praktiktid at stifte bekendtskab med flere journalistiske genrer </w:t>
      </w:r>
      <w:r w:rsidR="00115B12">
        <w:rPr>
          <w:sz w:val="28"/>
          <w:szCs w:val="28"/>
        </w:rPr>
        <w:t xml:space="preserve">samt at opnå journalistiske kernekompetencer som eksempelvis interviewteknik og researchmetoder. Desuden forventes det, at man har lært at arbejde selvstændigt. </w:t>
      </w:r>
    </w:p>
    <w:p w:rsidR="00442B8D" w:rsidRDefault="00442B8D" w:rsidP="00442B8D">
      <w:pPr>
        <w:rPr>
          <w:sz w:val="28"/>
          <w:szCs w:val="28"/>
        </w:rPr>
      </w:pPr>
    </w:p>
    <w:p w:rsidR="003D039D" w:rsidRPr="00B0680B" w:rsidRDefault="00442B8D">
      <w:pPr>
        <w:rPr>
          <w:sz w:val="28"/>
          <w:szCs w:val="28"/>
        </w:rPr>
      </w:pPr>
      <w:r>
        <w:rPr>
          <w:sz w:val="28"/>
          <w:szCs w:val="28"/>
        </w:rPr>
        <w:t>Marts 2016</w:t>
      </w:r>
      <w:r>
        <w:rPr>
          <w:sz w:val="28"/>
          <w:szCs w:val="28"/>
        </w:rPr>
        <w:br/>
        <w:t>Mediehuset Herning Folkeblad</w:t>
      </w:r>
      <w:r>
        <w:rPr>
          <w:sz w:val="28"/>
          <w:szCs w:val="28"/>
        </w:rPr>
        <w:br/>
        <w:t>Praktikantvejleder Lene Toksvig</w:t>
      </w:r>
      <w:r>
        <w:rPr>
          <w:sz w:val="28"/>
          <w:szCs w:val="28"/>
        </w:rPr>
        <w:br/>
        <w:t>Tlf. 9626 3762</w:t>
      </w:r>
    </w:p>
    <w:sectPr w:rsidR="003D039D" w:rsidRPr="00B068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8D"/>
    <w:rsid w:val="0006411B"/>
    <w:rsid w:val="00115B12"/>
    <w:rsid w:val="002E364B"/>
    <w:rsid w:val="00442B8D"/>
    <w:rsid w:val="00B0680B"/>
    <w:rsid w:val="00BD3425"/>
    <w:rsid w:val="00CA0299"/>
    <w:rsid w:val="00E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8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442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442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8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442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442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Toksvig</dc:creator>
  <cp:keywords/>
  <dc:description/>
  <cp:lastModifiedBy>Pia Færing</cp:lastModifiedBy>
  <cp:revision>2</cp:revision>
  <cp:lastPrinted>2016-03-29T10:44:00Z</cp:lastPrinted>
  <dcterms:created xsi:type="dcterms:W3CDTF">2016-03-29T11:12:00Z</dcterms:created>
  <dcterms:modified xsi:type="dcterms:W3CDTF">2016-03-29T11:12:00Z</dcterms:modified>
</cp:coreProperties>
</file>